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797C52">
          <w:rPr>
            <w:rStyle w:val="a5"/>
            <w:rFonts w:ascii="Tahoma" w:hAnsi="Tahoma" w:cs="Tahoma"/>
            <w:sz w:val="19"/>
            <w:szCs w:val="19"/>
          </w:rPr>
          <w:t>П</w:t>
        </w:r>
        <w:r w:rsidRPr="00797C52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1213B0" w:rsidP="001213B0">
      <w:proofErr w:type="spellStart"/>
      <w:r>
        <w:t>Маханькова</w:t>
      </w:r>
      <w:proofErr w:type="spellEnd"/>
      <w:r>
        <w:t xml:space="preserve"> Анна Михайловна тел. 8</w:t>
      </w:r>
      <w:r w:rsidR="00FC1169">
        <w:t>.</w:t>
      </w:r>
      <w:r>
        <w:t>495-775-81-11, доб. 136,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45A76"/>
    <w:rsid w:val="005902D9"/>
    <w:rsid w:val="005C591E"/>
    <w:rsid w:val="005F1391"/>
    <w:rsid w:val="00636930"/>
    <w:rsid w:val="00665E0B"/>
    <w:rsid w:val="00763CCC"/>
    <w:rsid w:val="00797C52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rtm.ru/upload/files/mts/docsro/Polojenie_strach_vred_OSOES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6</cp:revision>
  <dcterms:created xsi:type="dcterms:W3CDTF">2017-10-04T13:34:00Z</dcterms:created>
  <dcterms:modified xsi:type="dcterms:W3CDTF">2017-10-05T11:33:00Z</dcterms:modified>
</cp:coreProperties>
</file>